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f25742a0942a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48744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BARANJSKA RAZVOJNA AGENCIJA GRADA BELOG MANASTIRA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94.574,29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98.615,82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90.858,99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122.363,58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2.222,59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siječanj - prosinac 2025. godine ostvaren je manjak prihoda nad rashodima, a koji manjak će se pokriti u 2026. godini uplatom iz nadležnog proračuna za redovite troškove ostvarene u prosincu.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207,4</w:t>
            </w:r>
          </w:p>
        </w:tc>
      </w:tr>
    </w:tbl>
    <w:p>
      <w:pPr>
        <w:spacing w:before="0" w:after="0"/>
      </w:pPr>
    </w:p>
    <w:p>
      <w:r>
        <w:t xml:space="preserve">Prihodi se odnose na pripreme poslovnih planova i projekata te na savjetodavne usluge u svezi istoga, dane poduzetnicima i poslovnim subjektima.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90.583,46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90.365,82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Prihodi iz nadležnnog proračuna Grada Belog Manastira povećani su najvećim dijelom zbog povećanja troškova za zaposlene, promjena koeficijenata i osnovice za obračun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65.527,11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97.285,71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148,5</w:t>
            </w:r>
          </w:p>
        </w:tc>
      </w:tr>
    </w:tbl>
    <w:p>
      <w:pPr>
        <w:spacing w:before="0" w:after="0"/>
      </w:pPr>
    </w:p>
    <w:p>
      <w:r>
        <w:t xml:space="preserve">Rashodi za zaposlene povećani su za 48% u odnosu na isto izvještajno razdoblje iz prošle godine iz razloga usklađenja koeficijenata i povećanja osnovice za obračun plaća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25.027,99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24.765,33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r>
        <w:t xml:space="preserve">Materijalni rashodi su ostali u istim okvirima kao i u prethodnom razdoblji, a sve prema financijskom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r>
        <w:t xml:space="preserve">U izvještajnom razdoblju nabavljena je nova računalna oprema za potrebe agencije i provođenja projekta te je dijelom financirana iz općih izvora, a dijelom iz projektnih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25.747,76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je ostvaren manjak prihoda nad rashodima i to manjak iz Općih izvora u iznosu od 9.079,16€, manjak prihoda iz izvora Pomoći u iznosu od 14.354,90€, te manjka prihoda iz Vlastitih izvora u iznosu od 2.313,70€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58,5</w:t>
            </w:r>
          </w:p>
        </w:tc>
      </w:tr>
    </w:tbl>
    <w:p>
      <w:pPr>
        <w:spacing w:before="0" w:after="0"/>
      </w:pPr>
    </w:p>
    <w:p>
      <w:r>
        <w:t xml:space="preserve">Imovina se sastoji od:</w:t>
      </w:r>
    </w:p>
    <w:p>
      <w:pPr>
        <w:pStyle w:val="ListParagraph"/>
        <w:numPr>
          <w:ilvl w:val="0"/>
          <w:numId w:val="2"/>
        </w:numPr>
      </w:pPr>
      <w:r>
        <w:t xml:space="preserve">Proizvedene dugotrajne imovine, knjigovodstvene vrijednosti 5.781,46€</w:t>
      </w:r>
    </w:p>
    <w:p>
      <w:pPr>
        <w:pStyle w:val="ListParagraph"/>
        <w:numPr>
          <w:ilvl w:val="0"/>
          <w:numId w:val="2"/>
        </w:numPr>
      </w:pPr>
      <w:r>
        <w:t xml:space="preserve">Sitnog inventara</w:t>
      </w:r>
    </w:p>
    <w:p>
      <w:pPr>
        <w:pStyle w:val="ListParagraph"/>
        <w:numPr>
          <w:ilvl w:val="0"/>
          <w:numId w:val="2"/>
        </w:numPr>
      </w:pPr>
      <w:r>
        <w:t xml:space="preserve">Financijske imovine - potraživanja od HZZO-a za isplaćene naknade za bolovanje, potraživanja  za pomoći iz projekta (Place Craft) po predanom 1. ZNS-u, te  potraživanja za sredstva uplaćena u nadležni proračun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20.140,32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58,5</w:t>
            </w:r>
          </w:p>
        </w:tc>
      </w:tr>
    </w:tbl>
    <w:p>
      <w:pPr>
        <w:spacing w:before="0" w:after="0"/>
      </w:pPr>
    </w:p>
    <w:p>
      <w:r>
        <w:t xml:space="preserve">Obveze i vlastiti izvori sastoje se od:</w:t>
      </w:r>
    </w:p>
    <w:p>
      <w:pPr>
        <w:pStyle w:val="ListParagraph"/>
        <w:numPr>
          <w:ilvl w:val="0"/>
          <w:numId w:val="2"/>
        </w:numPr>
      </w:pPr>
      <w:r>
        <w:t xml:space="preserve">Obveze za rashode poslovanje - obračunata plaća za prosinac, te na materijalne rashode pretežno režijske troškove</w:t>
      </w:r>
    </w:p>
    <w:p>
      <w:pPr>
        <w:pStyle w:val="ListParagraph"/>
        <w:numPr>
          <w:ilvl w:val="0"/>
          <w:numId w:val="2"/>
        </w:numPr>
      </w:pPr>
      <w:r>
        <w:t xml:space="preserve">Vlastitih izvora iz proračuna</w:t>
      </w:r>
    </w:p>
    <w:p>
      <w:pPr>
        <w:pStyle w:val="ListParagraph"/>
        <w:numPr>
          <w:ilvl w:val="0"/>
          <w:numId w:val="2"/>
        </w:numPr>
      </w:pPr>
      <w:r>
        <w:t xml:space="preserve">Viška prihoda poslovanja (izvršena korekcija)</w:t>
      </w:r>
    </w:p>
    <w:p>
      <w:pPr>
        <w:pStyle w:val="ListParagraph"/>
        <w:numPr>
          <w:ilvl w:val="0"/>
          <w:numId w:val="2"/>
        </w:numPr>
      </w:pPr>
      <w:r>
        <w:t xml:space="preserve">Manjka prihoda od nefinancijske imovine (izvršena korekcija)</w:t>
      </w:r>
    </w:p>
    <w:p>
      <w:pPr>
        <w:pStyle w:val="ListParagraph"/>
        <w:numPr>
          <w:ilvl w:val="0"/>
          <w:numId w:val="2"/>
        </w:numPr>
      </w:pPr>
      <w:r>
        <w:t xml:space="preserve">Obračun prihoda poslovanja  - odnose se na nenaplaćena potraživanja za pomoći iz projekta u tijeku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Ekonomski poslovi (šifre 041+042+043+044+045+046+047+048+049)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93.081,58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124.363,58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r>
        <w:t xml:space="preserve">Višenamjenski razvojni projekti bilježe rast od 33,60 % u odnosu na isto razdoblje 2025. godine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 obujmu imovine odnose se na ispravak vrijednosti i otpis proizvedene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godine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10.412,80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se odnose na obveze za obračunatu plaću za mjesec prosinac, te na redovne, pretežito režijske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2025. godini Agencija je prošla na natječaju te sudjeluje u provedbi kao projektni partner u projektu „Places for Community Revitalization with Rural Focus“, skraćenog naziva „PlaceCRAFT“ odobrenog kroz Program transnacionalne suradnje dunavske regije 2021. – 2027. (Danube Region Programme). Do kraja godine ostvareni su samo rashodi, a prihodi od 1. ZNS-a (predanog 10.10.2025.) se očekuju u 2026. godini.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ea3d336e7b4791" /><Relationship Type="http://schemas.openxmlformats.org/officeDocument/2006/relationships/numbering" Target="/word/numbering.xml" Id="R886527ec46704280" /></Relationships>
</file>